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20202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202020" w:themeColor="text1"/>
          <w:lang w:bidi="pl-PL"/>
        </w:rPr>
        <w:t>ŚWK.ZZA.273.</w:t>
      </w:r>
      <w:r w:rsidR="00AB2141">
        <w:rPr>
          <w:rFonts w:eastAsia="Times New Roman" w:cstheme="minorHAnsi"/>
          <w:color w:val="202020" w:themeColor="text1"/>
          <w:lang w:bidi="pl-PL"/>
        </w:rPr>
        <w:t>12</w:t>
      </w:r>
      <w:r w:rsidRPr="00AB2141">
        <w:rPr>
          <w:rFonts w:eastAsia="Times New Roman" w:cstheme="minorHAnsi"/>
          <w:color w:val="202020" w:themeColor="text1"/>
          <w:lang w:bidi="pl-PL"/>
        </w:rPr>
        <w:t>.2022</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E901FF">
        <w:rPr>
          <w:rFonts w:ascii="Arial" w:eastAsia="Arial" w:hAnsi="Arial" w:cs="Arial"/>
          <w:b/>
          <w:sz w:val="28"/>
        </w:rPr>
        <w:t>2</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E901FF">
        <w:t>Piotr Trząski</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 xml:space="preserve">Specyfikacja techniczna </w:t>
      </w:r>
      <w:r w:rsidR="00D91E2A">
        <w:t>komputera AIO</w:t>
      </w:r>
    </w:p>
    <w:tbl>
      <w:tblPr>
        <w:tblStyle w:val="Tabela-Siatka"/>
        <w:tblW w:w="10910" w:type="dxa"/>
        <w:tblInd w:w="-5" w:type="dxa"/>
        <w:tblLook w:val="04A0" w:firstRow="1" w:lastRow="0" w:firstColumn="1" w:lastColumn="0" w:noHBand="0" w:noVBand="1"/>
      </w:tblPr>
      <w:tblGrid>
        <w:gridCol w:w="5874"/>
        <w:gridCol w:w="5036"/>
      </w:tblGrid>
      <w:tr w:rsidR="00D91E2A" w:rsidRPr="005A75C9" w:rsidTr="00AD01A0">
        <w:trPr>
          <w:trHeight w:val="336"/>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Procesor</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AMD </w:t>
            </w:r>
            <w:proofErr w:type="spellStart"/>
            <w:r w:rsidRPr="00D91E2A">
              <w:rPr>
                <w:rFonts w:cstheme="minorHAnsi"/>
              </w:rPr>
              <w:t>Ryzen</w:t>
            </w:r>
            <w:proofErr w:type="spellEnd"/>
            <w:r w:rsidRPr="00D91E2A">
              <w:rPr>
                <w:rFonts w:cstheme="minorHAnsi"/>
              </w:rPr>
              <w:t xml:space="preserve"> 5 55XX</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Pamięć RAM</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16 GB DD4, 3200 </w:t>
            </w:r>
            <w:proofErr w:type="spellStart"/>
            <w:r w:rsidRPr="00D91E2A">
              <w:rPr>
                <w:rFonts w:cstheme="minorHAnsi"/>
              </w:rPr>
              <w:t>Mhz</w:t>
            </w:r>
            <w:proofErr w:type="spellEnd"/>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Maksymalna obsługiwana ilość pamięci RAM</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32 GB</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Typ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Matowy, LED</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Przekątna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23,8 "</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Rozdzielczość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1920 x 1080 (</w:t>
            </w:r>
            <w:proofErr w:type="spellStart"/>
            <w:r w:rsidRPr="00D91E2A">
              <w:rPr>
                <w:rFonts w:cstheme="minorHAnsi"/>
              </w:rPr>
              <w:t>FullHD</w:t>
            </w:r>
            <w:proofErr w:type="spellEnd"/>
            <w:r w:rsidRPr="00D91E2A">
              <w:rPr>
                <w:rFonts w:cstheme="minorHAnsi"/>
              </w:rPr>
              <w:t>)</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Karta graficzna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AMD </w:t>
            </w:r>
            <w:proofErr w:type="spellStart"/>
            <w:r w:rsidRPr="00D91E2A">
              <w:rPr>
                <w:rFonts w:cstheme="minorHAnsi"/>
              </w:rPr>
              <w:t>Radeon</w:t>
            </w:r>
            <w:proofErr w:type="spellEnd"/>
            <w:r w:rsidRPr="00D91E2A">
              <w:rPr>
                <w:rFonts w:cstheme="minorHAnsi"/>
              </w:rPr>
              <w:t xml:space="preserve"> Graphics</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Dysk SSD </w:t>
            </w:r>
            <w:proofErr w:type="spellStart"/>
            <w:r w:rsidRPr="00D91E2A">
              <w:rPr>
                <w:rFonts w:cstheme="minorHAnsi"/>
              </w:rPr>
              <w:t>PCIe</w:t>
            </w:r>
            <w:proofErr w:type="spellEnd"/>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512 GB</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Wbudowane napędy optyczne</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Nagrywarka DVD+/-RW (opcjonalnie napęd zewnętrzny)</w:t>
            </w:r>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Dźwięk</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Wbudowany mikrofon, Zintegrowana karta dźwiękowa, Wbudowane głośniki stereo</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Kamera internetowa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1.0 </w:t>
            </w:r>
            <w:proofErr w:type="spellStart"/>
            <w:r w:rsidRPr="00D91E2A">
              <w:rPr>
                <w:rFonts w:cstheme="minorHAnsi"/>
              </w:rPr>
              <w:t>Mpix</w:t>
            </w:r>
            <w:proofErr w:type="spellEnd"/>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Łączność</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Wi-Fi 5 (802.11 a/b/g/n/</w:t>
            </w:r>
            <w:proofErr w:type="spellStart"/>
            <w:r w:rsidRPr="00D91E2A">
              <w:rPr>
                <w:rFonts w:cstheme="minorHAnsi"/>
              </w:rPr>
              <w:t>ac</w:t>
            </w:r>
            <w:proofErr w:type="spellEnd"/>
            <w:r w:rsidRPr="00D91E2A">
              <w:rPr>
                <w:rFonts w:cstheme="minorHAnsi"/>
              </w:rPr>
              <w:t xml:space="preserve">),  LAN 10/100/1000 </w:t>
            </w:r>
            <w:proofErr w:type="spellStart"/>
            <w:r w:rsidRPr="00D91E2A">
              <w:rPr>
                <w:rFonts w:cstheme="minorHAnsi"/>
              </w:rPr>
              <w:t>Mbps</w:t>
            </w:r>
            <w:proofErr w:type="spellEnd"/>
            <w:r w:rsidRPr="00D91E2A">
              <w:rPr>
                <w:rFonts w:cstheme="minorHAnsi"/>
              </w:rPr>
              <w:t xml:space="preserve"> Bluetooth</w:t>
            </w:r>
          </w:p>
        </w:tc>
      </w:tr>
      <w:tr w:rsidR="00D91E2A" w:rsidRPr="005A75C9" w:rsidTr="00AD01A0">
        <w:trPr>
          <w:trHeight w:val="285"/>
        </w:trPr>
        <w:tc>
          <w:tcPr>
            <w:tcW w:w="5874" w:type="dxa"/>
            <w:vMerge w:val="restart"/>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Złącza</w:t>
            </w:r>
          </w:p>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Zainstalowany system operacyjny</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USB 3.1 Gen. 1 (USB 3.0) - 2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HDMI 1.4 - 1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 xml:space="preserve">Czytnik kart pamięci </w:t>
            </w:r>
            <w:proofErr w:type="spellStart"/>
            <w:r w:rsidRPr="00D91E2A">
              <w:rPr>
                <w:rFonts w:cstheme="minorHAnsi"/>
              </w:rPr>
              <w:t>microSD</w:t>
            </w:r>
            <w:proofErr w:type="spellEnd"/>
            <w:r w:rsidRPr="00D91E2A">
              <w:rPr>
                <w:rFonts w:cstheme="minorHAnsi"/>
              </w:rPr>
              <w:t xml:space="preserve"> - 1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USB 2.0 - 1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RJ-45 (LAN)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Wyjście słuchawkowe/wejście mikrofonowe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DC-in (wejście zasilania)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Microsoft Windows 10 Pro PL (wersja 64-bitowa)</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Dołączone oprogramowanie</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Partycja </w:t>
            </w:r>
            <w:proofErr w:type="spellStart"/>
            <w:r w:rsidRPr="00D91E2A">
              <w:rPr>
                <w:rFonts w:cstheme="minorHAnsi"/>
              </w:rPr>
              <w:t>recovery</w:t>
            </w:r>
            <w:proofErr w:type="spellEnd"/>
            <w:r w:rsidRPr="00D91E2A">
              <w:rPr>
                <w:rFonts w:cstheme="minorHAnsi"/>
              </w:rPr>
              <w:t xml:space="preserve"> (opcja przywrócenia systemu z dysku)</w:t>
            </w:r>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Dołączone akcesoria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Zasilacz</w:t>
            </w:r>
            <w:r w:rsidRPr="00D91E2A">
              <w:rPr>
                <w:rFonts w:cstheme="minorHAnsi"/>
              </w:rPr>
              <w:br/>
              <w:t>Klawiatura bezprzewodowa</w:t>
            </w:r>
            <w:r w:rsidRPr="00D91E2A">
              <w:rPr>
                <w:rFonts w:cstheme="minorHAnsi"/>
              </w:rPr>
              <w:br/>
              <w:t>Mysz bezprzewodowa</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Rodzaj gwarancji</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Standardowa</w:t>
            </w:r>
          </w:p>
        </w:tc>
      </w:tr>
    </w:tbl>
    <w:p w:rsidR="002E4F73" w:rsidRDefault="002E4F73" w:rsidP="002E4F73"/>
    <w:p w:rsidR="002E4F73" w:rsidRDefault="002E4F73" w:rsidP="00C179F1">
      <w:pPr>
        <w:jc w:val="center"/>
      </w:pPr>
      <w:r>
        <w:t>Specyfikacja urządzenia wielofunkcyjnego</w:t>
      </w:r>
      <w:r w:rsidR="001324A9">
        <w:t>:</w:t>
      </w:r>
    </w:p>
    <w:tbl>
      <w:tblPr>
        <w:tblStyle w:val="Tabela-Siatka"/>
        <w:tblW w:w="0" w:type="auto"/>
        <w:tblInd w:w="1117" w:type="dxa"/>
        <w:tblLook w:val="04A0" w:firstRow="1" w:lastRow="0" w:firstColumn="1" w:lastColumn="0" w:noHBand="0" w:noVBand="1"/>
      </w:tblPr>
      <w:tblGrid>
        <w:gridCol w:w="3840"/>
        <w:gridCol w:w="4760"/>
      </w:tblGrid>
      <w:tr w:rsidR="002E4F73" w:rsidRPr="0095633F" w:rsidTr="00EC107A">
        <w:trPr>
          <w:trHeight w:val="300"/>
        </w:trPr>
        <w:tc>
          <w:tcPr>
            <w:tcW w:w="3840" w:type="dxa"/>
          </w:tcPr>
          <w:p w:rsidR="002E4F73" w:rsidRPr="0095633F" w:rsidRDefault="002E4F73" w:rsidP="00C179F1">
            <w:pPr>
              <w:jc w:val="center"/>
            </w:pPr>
            <w:r>
              <w:t xml:space="preserve">Urządzenie wielofunkcyjne Epson </w:t>
            </w:r>
            <w:r w:rsidR="00D91E2A">
              <w:t>L326</w:t>
            </w:r>
          </w:p>
        </w:tc>
        <w:tc>
          <w:tcPr>
            <w:tcW w:w="4760" w:type="dxa"/>
            <w:noWrap/>
          </w:tcPr>
          <w:p w:rsidR="002E4F73" w:rsidRPr="0095633F" w:rsidRDefault="002E4F73" w:rsidP="00C179F1">
            <w:pPr>
              <w:jc w:val="center"/>
            </w:pPr>
            <w:r>
              <w:t>Parametry producenta</w:t>
            </w:r>
            <w:r w:rsidR="00EC107A">
              <w:t xml:space="preserve"> lub równoważne</w:t>
            </w:r>
          </w:p>
        </w:tc>
      </w:tr>
    </w:tbl>
    <w:p w:rsidR="002E4F73" w:rsidRDefault="002E4F73" w:rsidP="00C179F1">
      <w:pPr>
        <w:jc w:val="center"/>
      </w:pPr>
    </w:p>
    <w:p w:rsidR="002E4F73" w:rsidRDefault="002E4F73" w:rsidP="00C179F1">
      <w:pPr>
        <w:jc w:val="center"/>
      </w:pPr>
      <w:r>
        <w:t xml:space="preserve">Specyfikacja </w:t>
      </w:r>
      <w:r w:rsidR="00D91E2A">
        <w:t>niszczarki dokumentów</w:t>
      </w:r>
      <w:r>
        <w:t>:</w:t>
      </w:r>
    </w:p>
    <w:tbl>
      <w:tblPr>
        <w:tblStyle w:val="Tabela-Siatka"/>
        <w:tblW w:w="0" w:type="auto"/>
        <w:tblInd w:w="1117" w:type="dxa"/>
        <w:tblLook w:val="04A0" w:firstRow="1" w:lastRow="0" w:firstColumn="1" w:lastColumn="0" w:noHBand="0" w:noVBand="1"/>
      </w:tblPr>
      <w:tblGrid>
        <w:gridCol w:w="3840"/>
        <w:gridCol w:w="4760"/>
      </w:tblGrid>
      <w:tr w:rsidR="002E4F73" w:rsidRPr="0095633F" w:rsidTr="00EC107A">
        <w:trPr>
          <w:trHeight w:val="300"/>
        </w:trPr>
        <w:tc>
          <w:tcPr>
            <w:tcW w:w="3840" w:type="dxa"/>
            <w:hideMark/>
          </w:tcPr>
          <w:p w:rsidR="002E4F73" w:rsidRPr="0095633F" w:rsidRDefault="00D91E2A" w:rsidP="00C179F1">
            <w:pPr>
              <w:jc w:val="center"/>
            </w:pPr>
            <w:proofErr w:type="spellStart"/>
            <w:r>
              <w:t>Fellowes</w:t>
            </w:r>
            <w:proofErr w:type="spellEnd"/>
            <w:r>
              <w:t xml:space="preserve"> </w:t>
            </w:r>
            <w:proofErr w:type="spellStart"/>
            <w:r>
              <w:t>Automax</w:t>
            </w:r>
            <w:proofErr w:type="spellEnd"/>
            <w:r>
              <w:t xml:space="preserve"> 100M</w:t>
            </w:r>
          </w:p>
        </w:tc>
        <w:tc>
          <w:tcPr>
            <w:tcW w:w="4760" w:type="dxa"/>
            <w:noWrap/>
            <w:hideMark/>
          </w:tcPr>
          <w:p w:rsidR="002E4F73" w:rsidRPr="0095633F" w:rsidRDefault="002E4F73" w:rsidP="00C179F1">
            <w:pPr>
              <w:jc w:val="center"/>
            </w:pPr>
            <w:r w:rsidRPr="0095633F">
              <w:t>Parametry producenta</w:t>
            </w:r>
            <w:r w:rsidR="00EC107A">
              <w:t xml:space="preserve"> lub równoważne</w:t>
            </w:r>
          </w:p>
        </w:tc>
      </w:tr>
    </w:tbl>
    <w:p w:rsidR="002E4F73" w:rsidRDefault="002E4F73" w:rsidP="00C179F1">
      <w:pPr>
        <w:jc w:val="center"/>
      </w:pPr>
      <w:r>
        <w:br/>
        <w:t xml:space="preserve">Specyfikacja </w:t>
      </w:r>
      <w:r w:rsidR="00D91E2A">
        <w:t>laminatora</w:t>
      </w:r>
      <w:r>
        <w:t>:</w:t>
      </w:r>
    </w:p>
    <w:tbl>
      <w:tblPr>
        <w:tblStyle w:val="Tabela-Siatka"/>
        <w:tblW w:w="0" w:type="auto"/>
        <w:tblInd w:w="1117" w:type="dxa"/>
        <w:tblLook w:val="04A0" w:firstRow="1" w:lastRow="0" w:firstColumn="1" w:lastColumn="0" w:noHBand="0" w:noVBand="1"/>
      </w:tblPr>
      <w:tblGrid>
        <w:gridCol w:w="3840"/>
        <w:gridCol w:w="4804"/>
      </w:tblGrid>
      <w:tr w:rsidR="002E4F73" w:rsidRPr="0095633F" w:rsidTr="00EC107A">
        <w:trPr>
          <w:trHeight w:val="282"/>
        </w:trPr>
        <w:tc>
          <w:tcPr>
            <w:tcW w:w="3840" w:type="dxa"/>
            <w:hideMark/>
          </w:tcPr>
          <w:p w:rsidR="002E4F73" w:rsidRPr="0095633F" w:rsidRDefault="00D91E2A" w:rsidP="00C179F1">
            <w:pPr>
              <w:jc w:val="center"/>
            </w:pPr>
            <w:proofErr w:type="spellStart"/>
            <w:r>
              <w:t>Tracer</w:t>
            </w:r>
            <w:proofErr w:type="spellEnd"/>
            <w:r>
              <w:t xml:space="preserve"> TRL-A3</w:t>
            </w:r>
          </w:p>
        </w:tc>
        <w:tc>
          <w:tcPr>
            <w:tcW w:w="4804" w:type="dxa"/>
            <w:noWrap/>
            <w:hideMark/>
          </w:tcPr>
          <w:p w:rsidR="002E4F73" w:rsidRPr="0095633F" w:rsidRDefault="002E4F73" w:rsidP="00C179F1">
            <w:pPr>
              <w:jc w:val="center"/>
            </w:pPr>
            <w:r w:rsidRPr="0095633F">
              <w:t>Parametry producenta</w:t>
            </w:r>
            <w:r w:rsidR="00EC107A">
              <w:t xml:space="preserve"> lub równoważne</w:t>
            </w:r>
          </w:p>
        </w:tc>
      </w:tr>
    </w:tbl>
    <w:p w:rsidR="002E4F73" w:rsidRDefault="002E4F73" w:rsidP="002E4F73">
      <w:pPr>
        <w:jc w:val="center"/>
      </w:pPr>
    </w:p>
    <w:p w:rsidR="002E4F73" w:rsidRDefault="002E4F73">
      <w:pPr>
        <w:spacing w:after="0" w:line="259" w:lineRule="auto"/>
        <w:ind w:left="142" w:firstLine="0"/>
        <w:jc w:val="left"/>
      </w:pPr>
      <w:bookmarkStart w:id="0" w:name="_GoBack"/>
      <w:bookmarkEnd w:id="0"/>
    </w:p>
    <w:sectPr w:rsidR="002E4F73">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5B5" w:rsidRDefault="001325B5">
      <w:pPr>
        <w:spacing w:after="0" w:line="240" w:lineRule="auto"/>
      </w:pPr>
      <w:r>
        <w:separator/>
      </w:r>
    </w:p>
  </w:endnote>
  <w:endnote w:type="continuationSeparator" w:id="0">
    <w:p w:rsidR="001325B5" w:rsidRDefault="0013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5B5" w:rsidRDefault="001325B5">
      <w:pPr>
        <w:spacing w:after="0" w:line="240" w:lineRule="auto"/>
      </w:pPr>
      <w:r>
        <w:separator/>
      </w:r>
    </w:p>
  </w:footnote>
  <w:footnote w:type="continuationSeparator" w:id="0">
    <w:p w:rsidR="001325B5" w:rsidRDefault="0013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2102C0"/>
    <w:rsid w:val="002130A2"/>
    <w:rsid w:val="002C32B0"/>
    <w:rsid w:val="002E4F73"/>
    <w:rsid w:val="003402FF"/>
    <w:rsid w:val="00366590"/>
    <w:rsid w:val="004334AE"/>
    <w:rsid w:val="00450448"/>
    <w:rsid w:val="004D3C0E"/>
    <w:rsid w:val="004F7F1C"/>
    <w:rsid w:val="00582698"/>
    <w:rsid w:val="005A7EB9"/>
    <w:rsid w:val="005D1F0E"/>
    <w:rsid w:val="00656149"/>
    <w:rsid w:val="006567A8"/>
    <w:rsid w:val="00681125"/>
    <w:rsid w:val="00737897"/>
    <w:rsid w:val="007B65FC"/>
    <w:rsid w:val="00901A7D"/>
    <w:rsid w:val="0097418C"/>
    <w:rsid w:val="009D5C76"/>
    <w:rsid w:val="00A16D3A"/>
    <w:rsid w:val="00A96DE4"/>
    <w:rsid w:val="00AB2141"/>
    <w:rsid w:val="00BB46E1"/>
    <w:rsid w:val="00C179F1"/>
    <w:rsid w:val="00D81754"/>
    <w:rsid w:val="00D91E2A"/>
    <w:rsid w:val="00E14788"/>
    <w:rsid w:val="00E26400"/>
    <w:rsid w:val="00E344A6"/>
    <w:rsid w:val="00E901FF"/>
    <w:rsid w:val="00E94BCF"/>
    <w:rsid w:val="00EC107A"/>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753B9"/>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20202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2656</Words>
  <Characters>15938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12</cp:revision>
  <cp:lastPrinted>2022-10-17T06:00:00Z</cp:lastPrinted>
  <dcterms:created xsi:type="dcterms:W3CDTF">2020-06-25T09:36:00Z</dcterms:created>
  <dcterms:modified xsi:type="dcterms:W3CDTF">2022-10-20T11:55:00Z</dcterms:modified>
</cp:coreProperties>
</file>